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F1AE" w14:textId="59F3B326" w:rsidR="00053233" w:rsidRPr="00D8416E" w:rsidRDefault="00935C9A" w:rsidP="00A96F44">
      <w:pPr>
        <w:pStyle w:val="NormalWeb"/>
        <w:jc w:val="both"/>
        <w:rPr>
          <w:rFonts w:ascii="Arial" w:hAnsi="Arial" w:cs="Arial"/>
          <w:b/>
          <w:color w:val="1D1D1D"/>
          <w:sz w:val="22"/>
          <w:szCs w:val="22"/>
          <w:u w:val="single"/>
          <w:lang w:val="fr-BE"/>
        </w:rPr>
      </w:pPr>
      <w:bookmarkStart w:id="0" w:name="_GoBack"/>
      <w:bookmarkEnd w:id="0"/>
      <w:r w:rsidRPr="00935C9A">
        <w:rPr>
          <w:rFonts w:ascii="Arial" w:hAnsi="Arial" w:cs="Arial"/>
          <w:b/>
          <w:color w:val="1D1D1D"/>
          <w:sz w:val="22"/>
          <w:szCs w:val="22"/>
          <w:u w:val="single"/>
          <w:lang w:val="fr"/>
        </w:rPr>
        <w:t xml:space="preserve">Le Brexit et votre droit de séjour </w:t>
      </w:r>
    </w:p>
    <w:p w14:paraId="26967183" w14:textId="260F7016" w:rsidR="00E95087" w:rsidRPr="00D8416E" w:rsidRDefault="00053233" w:rsidP="00A96F44">
      <w:pPr>
        <w:jc w:val="both"/>
        <w:rPr>
          <w:rFonts w:ascii="Arial" w:hAnsi="Arial" w:cs="Arial"/>
          <w:lang w:val="fr-BE"/>
        </w:rPr>
      </w:pPr>
      <w:r w:rsidRPr="008E09F2">
        <w:rPr>
          <w:rFonts w:ascii="Arial" w:hAnsi="Arial" w:cs="Arial"/>
          <w:lang w:val="fr"/>
        </w:rPr>
        <w:t>Le 29 mars 2017, le Royaume-Uni a communiqué sa décision de quitter l</w:t>
      </w:r>
      <w:r w:rsidR="00F869B0">
        <w:rPr>
          <w:rFonts w:ascii="Arial" w:hAnsi="Arial" w:cs="Arial"/>
          <w:lang w:val="fr"/>
        </w:rPr>
        <w:t>’</w:t>
      </w:r>
      <w:r w:rsidRPr="008E09F2">
        <w:rPr>
          <w:rFonts w:ascii="Arial" w:hAnsi="Arial" w:cs="Arial"/>
          <w:lang w:val="fr"/>
        </w:rPr>
        <w:t>Union européenne et il ne fera donc plus partie de l</w:t>
      </w:r>
      <w:r w:rsidR="00F869B0">
        <w:rPr>
          <w:rFonts w:ascii="Arial" w:hAnsi="Arial" w:cs="Arial"/>
          <w:lang w:val="fr"/>
        </w:rPr>
        <w:t>’</w:t>
      </w:r>
      <w:r w:rsidRPr="008E09F2">
        <w:rPr>
          <w:rFonts w:ascii="Arial" w:hAnsi="Arial" w:cs="Arial"/>
          <w:lang w:val="fr"/>
        </w:rPr>
        <w:t>Union européenne à compter du 30 mars 2019. Cette décision n</w:t>
      </w:r>
      <w:r w:rsidR="00F869B0">
        <w:rPr>
          <w:rFonts w:ascii="Arial" w:hAnsi="Arial" w:cs="Arial"/>
          <w:lang w:val="fr"/>
        </w:rPr>
        <w:t>’</w:t>
      </w:r>
      <w:r w:rsidRPr="008E09F2">
        <w:rPr>
          <w:rFonts w:ascii="Arial" w:hAnsi="Arial" w:cs="Arial"/>
          <w:lang w:val="fr"/>
        </w:rPr>
        <w:t>aura pas seulement d</w:t>
      </w:r>
      <w:r w:rsidR="00F869B0">
        <w:rPr>
          <w:rFonts w:ascii="Arial" w:hAnsi="Arial" w:cs="Arial"/>
          <w:lang w:val="fr"/>
        </w:rPr>
        <w:t>’</w:t>
      </w:r>
      <w:r w:rsidRPr="008E09F2">
        <w:rPr>
          <w:rFonts w:ascii="Arial" w:hAnsi="Arial" w:cs="Arial"/>
          <w:lang w:val="fr"/>
        </w:rPr>
        <w:t>importantes répercussions sur les citoyens de l</w:t>
      </w:r>
      <w:r w:rsidR="00F869B0">
        <w:rPr>
          <w:rFonts w:ascii="Arial" w:hAnsi="Arial" w:cs="Arial"/>
          <w:lang w:val="fr"/>
        </w:rPr>
        <w:t>’</w:t>
      </w:r>
      <w:r w:rsidRPr="008E09F2">
        <w:rPr>
          <w:rFonts w:ascii="Arial" w:hAnsi="Arial" w:cs="Arial"/>
          <w:lang w:val="fr"/>
        </w:rPr>
        <w:t xml:space="preserve">Union qui résident actuellement au Royaume-Uni, mais aussi sur les Britanniques qui résident dans un Etat membre de </w:t>
      </w:r>
      <w:r w:rsidR="00D8416E" w:rsidRPr="00D8416E">
        <w:rPr>
          <w:rFonts w:ascii="Arial" w:hAnsi="Arial" w:cs="Arial"/>
          <w:lang w:val="fr"/>
        </w:rPr>
        <w:t>l</w:t>
      </w:r>
      <w:r w:rsidR="00F869B0">
        <w:rPr>
          <w:rFonts w:ascii="Arial" w:hAnsi="Arial" w:cs="Arial"/>
          <w:lang w:val="fr"/>
        </w:rPr>
        <w:t>’Union européenne</w:t>
      </w:r>
      <w:r w:rsidRPr="008E09F2">
        <w:rPr>
          <w:rFonts w:ascii="Arial" w:hAnsi="Arial" w:cs="Arial"/>
          <w:lang w:val="fr"/>
        </w:rPr>
        <w:t>. L</w:t>
      </w:r>
      <w:r w:rsidR="00F869B0">
        <w:rPr>
          <w:rFonts w:ascii="Arial" w:hAnsi="Arial" w:cs="Arial"/>
          <w:lang w:val="fr"/>
        </w:rPr>
        <w:t>’</w:t>
      </w:r>
      <w:r w:rsidRPr="008E09F2">
        <w:rPr>
          <w:rFonts w:ascii="Arial" w:hAnsi="Arial" w:cs="Arial"/>
          <w:lang w:val="fr"/>
        </w:rPr>
        <w:t>objectif de l</w:t>
      </w:r>
      <w:r w:rsidR="00F869B0">
        <w:rPr>
          <w:rFonts w:ascii="Arial" w:hAnsi="Arial" w:cs="Arial"/>
          <w:lang w:val="fr"/>
        </w:rPr>
        <w:t>’</w:t>
      </w:r>
      <w:r w:rsidRPr="008E09F2">
        <w:rPr>
          <w:rFonts w:ascii="Arial" w:hAnsi="Arial" w:cs="Arial"/>
          <w:lang w:val="fr"/>
        </w:rPr>
        <w:t>accord de sortie est de préserver au mieux les droits acquis des Britanniques et des membres de leur famille qui résident déjà en Belgique.</w:t>
      </w:r>
    </w:p>
    <w:p w14:paraId="748D6522" w14:textId="77777777" w:rsidR="00053233" w:rsidRPr="00D8416E" w:rsidRDefault="00053233" w:rsidP="00A96F44">
      <w:pPr>
        <w:jc w:val="both"/>
        <w:rPr>
          <w:rFonts w:ascii="Arial" w:hAnsi="Arial" w:cs="Arial"/>
          <w:lang w:val="fr-BE"/>
        </w:rPr>
      </w:pPr>
      <w:r w:rsidRPr="008E09F2">
        <w:rPr>
          <w:rFonts w:ascii="Arial" w:hAnsi="Arial" w:cs="Arial"/>
          <w:lang w:val="fr"/>
        </w:rPr>
        <w:t xml:space="preserve">  </w:t>
      </w:r>
    </w:p>
    <w:p w14:paraId="49A8BA2A" w14:textId="4679DCA2" w:rsidR="00461E1D" w:rsidRPr="00D8416E" w:rsidRDefault="00C315B3" w:rsidP="00A96F44">
      <w:pPr>
        <w:jc w:val="both"/>
        <w:rPr>
          <w:rFonts w:ascii="Arial" w:hAnsi="Arial" w:cs="Arial"/>
          <w:lang w:val="fr-BE"/>
        </w:rPr>
      </w:pPr>
      <w:r w:rsidRPr="008E09F2">
        <w:rPr>
          <w:rFonts w:ascii="Arial" w:hAnsi="Arial" w:cs="Arial"/>
          <w:lang w:val="fr"/>
        </w:rPr>
        <w:t>Les négociations entre le Royaume-Uni et l</w:t>
      </w:r>
      <w:r w:rsidR="00F869B0">
        <w:rPr>
          <w:rFonts w:ascii="Arial" w:hAnsi="Arial" w:cs="Arial"/>
          <w:lang w:val="fr"/>
        </w:rPr>
        <w:t>’</w:t>
      </w:r>
      <w:r w:rsidRPr="008E09F2">
        <w:rPr>
          <w:rFonts w:ascii="Arial" w:hAnsi="Arial" w:cs="Arial"/>
          <w:lang w:val="fr"/>
        </w:rPr>
        <w:t>Union européenne sur les conditions de sortie sont encore en cours. Une version provisoire de l</w:t>
      </w:r>
      <w:r w:rsidR="00F869B0">
        <w:rPr>
          <w:rFonts w:ascii="Arial" w:hAnsi="Arial" w:cs="Arial"/>
          <w:lang w:val="fr"/>
        </w:rPr>
        <w:t>’</w:t>
      </w:r>
      <w:r w:rsidRPr="008E09F2">
        <w:rPr>
          <w:rFonts w:ascii="Arial" w:hAnsi="Arial" w:cs="Arial"/>
          <w:lang w:val="fr"/>
        </w:rPr>
        <w:t xml:space="preserve">accord de sortie a été </w:t>
      </w:r>
      <w:hyperlink r:id="rId11" w:history="1">
        <w:r w:rsidR="00E95087" w:rsidRPr="008E09F2">
          <w:rPr>
            <w:rStyle w:val="Lienhypertexte"/>
            <w:rFonts w:ascii="Arial" w:hAnsi="Arial" w:cs="Arial"/>
            <w:lang w:val="fr"/>
          </w:rPr>
          <w:t>publiée</w:t>
        </w:r>
      </w:hyperlink>
      <w:r w:rsidR="00D424AA" w:rsidRPr="008E09F2">
        <w:rPr>
          <w:rFonts w:ascii="Arial" w:hAnsi="Arial" w:cs="Arial"/>
          <w:lang w:val="fr"/>
        </w:rPr>
        <w:t xml:space="preserve"> par la Commission européenne en </w:t>
      </w:r>
      <w:r w:rsidR="00501F95">
        <w:rPr>
          <w:rFonts w:ascii="Arial" w:hAnsi="Arial" w:cs="Arial"/>
          <w:lang w:val="fr"/>
        </w:rPr>
        <w:t xml:space="preserve">novembre </w:t>
      </w:r>
      <w:r w:rsidR="00D424AA" w:rsidRPr="008E09F2">
        <w:rPr>
          <w:rFonts w:ascii="Arial" w:hAnsi="Arial" w:cs="Arial"/>
          <w:lang w:val="fr"/>
        </w:rPr>
        <w:t>2018. Des accords partiels ont déjà été conclus sur des sujets importants. Il convient cependant de souligner que tant que l</w:t>
      </w:r>
      <w:r w:rsidR="00F869B0">
        <w:rPr>
          <w:rFonts w:ascii="Arial" w:hAnsi="Arial" w:cs="Arial"/>
          <w:lang w:val="fr"/>
        </w:rPr>
        <w:t>’</w:t>
      </w:r>
      <w:r w:rsidR="00D424AA" w:rsidRPr="008E09F2">
        <w:rPr>
          <w:rFonts w:ascii="Arial" w:hAnsi="Arial" w:cs="Arial"/>
          <w:lang w:val="fr"/>
        </w:rPr>
        <w:t>accord complet n</w:t>
      </w:r>
      <w:r w:rsidR="00F869B0">
        <w:rPr>
          <w:rFonts w:ascii="Arial" w:hAnsi="Arial" w:cs="Arial"/>
          <w:lang w:val="fr"/>
        </w:rPr>
        <w:t>’</w:t>
      </w:r>
      <w:r w:rsidR="00D424AA" w:rsidRPr="008E09F2">
        <w:rPr>
          <w:rFonts w:ascii="Arial" w:hAnsi="Arial" w:cs="Arial"/>
          <w:lang w:val="fr"/>
        </w:rPr>
        <w:t>a pas été approuvé, l</w:t>
      </w:r>
      <w:r w:rsidR="00F869B0">
        <w:rPr>
          <w:rFonts w:ascii="Arial" w:hAnsi="Arial" w:cs="Arial"/>
          <w:lang w:val="fr"/>
        </w:rPr>
        <w:t>’</w:t>
      </w:r>
      <w:r w:rsidR="00D424AA" w:rsidRPr="008E09F2">
        <w:rPr>
          <w:rFonts w:ascii="Arial" w:hAnsi="Arial" w:cs="Arial"/>
          <w:lang w:val="fr"/>
        </w:rPr>
        <w:t>Office des Etrangers ne peut fournir aucune garantie sur les droits et obligations des citoyens.</w:t>
      </w:r>
      <w:r w:rsidR="00D424AA" w:rsidRPr="008E09F2">
        <w:rPr>
          <w:rFonts w:ascii="Arial" w:hAnsi="Arial" w:cs="Arial"/>
          <w:b/>
          <w:lang w:val="fr"/>
        </w:rPr>
        <w:t xml:space="preserve"> Les informations suivantes sont dès lors provisoires et peuvent encore faire l</w:t>
      </w:r>
      <w:r w:rsidR="00F869B0">
        <w:rPr>
          <w:rFonts w:ascii="Arial" w:hAnsi="Arial" w:cs="Arial"/>
          <w:b/>
          <w:lang w:val="fr"/>
        </w:rPr>
        <w:t>’</w:t>
      </w:r>
      <w:r w:rsidR="00D424AA" w:rsidRPr="008E09F2">
        <w:rPr>
          <w:rFonts w:ascii="Arial" w:hAnsi="Arial" w:cs="Arial"/>
          <w:b/>
          <w:lang w:val="fr"/>
        </w:rPr>
        <w:t>objet de modifications à la suite des négociations.</w:t>
      </w:r>
      <w:r w:rsidR="00D424AA" w:rsidRPr="008E09F2">
        <w:rPr>
          <w:rFonts w:ascii="Arial" w:hAnsi="Arial" w:cs="Arial"/>
          <w:lang w:val="fr"/>
        </w:rPr>
        <w:t xml:space="preserve"> C</w:t>
      </w:r>
      <w:r w:rsidR="00F869B0">
        <w:rPr>
          <w:rFonts w:ascii="Arial" w:hAnsi="Arial" w:cs="Arial"/>
          <w:lang w:val="fr"/>
        </w:rPr>
        <w:t>’</w:t>
      </w:r>
      <w:r w:rsidR="00D424AA" w:rsidRPr="008E09F2">
        <w:rPr>
          <w:rFonts w:ascii="Arial" w:hAnsi="Arial" w:cs="Arial"/>
          <w:lang w:val="fr"/>
        </w:rPr>
        <w:t>est pourquoi l</w:t>
      </w:r>
      <w:r w:rsidR="00F869B0">
        <w:rPr>
          <w:rFonts w:ascii="Arial" w:hAnsi="Arial" w:cs="Arial"/>
          <w:lang w:val="fr"/>
        </w:rPr>
        <w:t>’</w:t>
      </w:r>
      <w:r w:rsidR="00D424AA" w:rsidRPr="008E09F2">
        <w:rPr>
          <w:rFonts w:ascii="Arial" w:hAnsi="Arial" w:cs="Arial"/>
          <w:lang w:val="fr"/>
        </w:rPr>
        <w:t>Office des Etrangers ne peut, pour l</w:t>
      </w:r>
      <w:r w:rsidR="00F869B0">
        <w:rPr>
          <w:rFonts w:ascii="Arial" w:hAnsi="Arial" w:cs="Arial"/>
          <w:lang w:val="fr"/>
        </w:rPr>
        <w:t>’</w:t>
      </w:r>
      <w:r w:rsidR="00D424AA" w:rsidRPr="008E09F2">
        <w:rPr>
          <w:rFonts w:ascii="Arial" w:hAnsi="Arial" w:cs="Arial"/>
          <w:lang w:val="fr"/>
        </w:rPr>
        <w:t>heure, pas encore répondre aux questions concernant des dossiers individuels.</w:t>
      </w:r>
    </w:p>
    <w:p w14:paraId="3E1FB23E" w14:textId="77777777" w:rsidR="00773688" w:rsidRPr="00D8416E" w:rsidRDefault="00773688" w:rsidP="00A96F44">
      <w:pPr>
        <w:jc w:val="both"/>
        <w:rPr>
          <w:rFonts w:ascii="Arial" w:hAnsi="Arial" w:cs="Arial"/>
          <w:lang w:val="fr-BE"/>
        </w:rPr>
      </w:pPr>
    </w:p>
    <w:p w14:paraId="5E272DE2" w14:textId="0DDDFD16" w:rsidR="00461E1D" w:rsidRPr="00D8416E" w:rsidRDefault="00461E1D" w:rsidP="00A96F44">
      <w:pPr>
        <w:jc w:val="both"/>
        <w:rPr>
          <w:rFonts w:ascii="Arial" w:hAnsi="Arial" w:cs="Arial"/>
          <w:lang w:val="fr-BE"/>
        </w:rPr>
      </w:pPr>
      <w:r w:rsidRPr="008E09F2">
        <w:rPr>
          <w:rFonts w:ascii="Arial" w:hAnsi="Arial" w:cs="Arial"/>
          <w:lang w:val="fr"/>
        </w:rPr>
        <w:t>Pendant la phase de transition, allant du 30 mars 2019 au 31 décembre 2020, pratiquement rien ne change pour les citoyens britanniques. Durant cette période, les Britanniques conserveront leur droit de libre circulation et de séjour, mais ils devront pouvoir présenter un document de voyage en cas de contrôle aux frontières.</w:t>
      </w:r>
    </w:p>
    <w:p w14:paraId="30CDDFBD" w14:textId="650D2169" w:rsidR="00461E1D" w:rsidRPr="00D8416E" w:rsidRDefault="00461E1D" w:rsidP="00A96F44">
      <w:pPr>
        <w:jc w:val="both"/>
        <w:rPr>
          <w:rFonts w:ascii="Arial" w:hAnsi="Arial" w:cs="Arial"/>
          <w:lang w:val="fr-BE"/>
        </w:rPr>
      </w:pPr>
    </w:p>
    <w:p w14:paraId="1CBE6AE0" w14:textId="05E7BC0B" w:rsidR="00BC59AD" w:rsidRPr="00D8416E" w:rsidRDefault="00330286" w:rsidP="00896621">
      <w:pPr>
        <w:jc w:val="both"/>
        <w:rPr>
          <w:rFonts w:ascii="Arial" w:hAnsi="Arial" w:cs="Arial"/>
          <w:lang w:val="fr-BE"/>
        </w:rPr>
      </w:pPr>
      <w:r w:rsidRPr="008E09F2">
        <w:rPr>
          <w:rFonts w:ascii="Arial" w:hAnsi="Arial" w:cs="Arial"/>
          <w:lang w:val="fr"/>
        </w:rPr>
        <w:t xml:space="preserve">Les Britanniques et les membres de leur famille ayant fait usage </w:t>
      </w:r>
      <w:r w:rsidR="00F869B0">
        <w:rPr>
          <w:rFonts w:ascii="Arial" w:hAnsi="Arial" w:cs="Arial"/>
          <w:lang w:val="fr"/>
        </w:rPr>
        <w:t xml:space="preserve">en Belgique </w:t>
      </w:r>
      <w:r w:rsidRPr="008E09F2">
        <w:rPr>
          <w:rFonts w:ascii="Arial" w:hAnsi="Arial" w:cs="Arial"/>
          <w:lang w:val="fr"/>
        </w:rPr>
        <w:t>du régime de libre circulation des personnes avant le 1</w:t>
      </w:r>
      <w:r w:rsidRPr="008E09F2">
        <w:rPr>
          <w:rFonts w:ascii="Arial" w:hAnsi="Arial" w:cs="Arial"/>
          <w:vertAlign w:val="superscript"/>
          <w:lang w:val="fr"/>
        </w:rPr>
        <w:t>er</w:t>
      </w:r>
      <w:r w:rsidRPr="008E09F2">
        <w:rPr>
          <w:rFonts w:ascii="Arial" w:hAnsi="Arial" w:cs="Arial"/>
          <w:lang w:val="fr"/>
        </w:rPr>
        <w:t xml:space="preserve"> janvier 2021 devront se procurer une nouvelle carte de séjour. Ces personnes seront identifiées pendant la phase de transition sur la base des données reprises dans le Registre national. Une lettre leur sera personnellement adressée, leur demandant de se présenter au service communal de leur lieu de résidence pour obtenir un nouveau titre de séjour faisant référence au Brexit, afin de garantir les droits qui leur sont octroyés par l</w:t>
      </w:r>
      <w:r w:rsidR="00F869B0">
        <w:rPr>
          <w:rFonts w:ascii="Arial" w:hAnsi="Arial" w:cs="Arial"/>
          <w:lang w:val="fr"/>
        </w:rPr>
        <w:t>’</w:t>
      </w:r>
      <w:r w:rsidRPr="008E09F2">
        <w:rPr>
          <w:rFonts w:ascii="Arial" w:hAnsi="Arial" w:cs="Arial"/>
          <w:lang w:val="fr"/>
        </w:rPr>
        <w:t xml:space="preserve">accord de sortie. </w:t>
      </w:r>
      <w:r w:rsidRPr="008E09F2">
        <w:rPr>
          <w:lang w:val="fr"/>
        </w:rPr>
        <w:t xml:space="preserve"> </w:t>
      </w:r>
      <w:r w:rsidRPr="008E09F2">
        <w:rPr>
          <w:rFonts w:ascii="Arial" w:hAnsi="Arial" w:cs="Arial"/>
          <w:lang w:val="fr"/>
        </w:rPr>
        <w:t>Leurs droits en tant qu</w:t>
      </w:r>
      <w:r w:rsidR="00F869B0">
        <w:rPr>
          <w:rFonts w:ascii="Arial" w:hAnsi="Arial" w:cs="Arial"/>
          <w:lang w:val="fr"/>
        </w:rPr>
        <w:t>’</w:t>
      </w:r>
      <w:r w:rsidRPr="008E09F2">
        <w:rPr>
          <w:rFonts w:ascii="Arial" w:hAnsi="Arial" w:cs="Arial"/>
          <w:lang w:val="fr"/>
        </w:rPr>
        <w:t>employé ou indépendant seront associés à ce titre de séjour. Tout le monde doit s</w:t>
      </w:r>
      <w:r w:rsidR="00F869B0">
        <w:rPr>
          <w:rFonts w:ascii="Arial" w:hAnsi="Arial" w:cs="Arial"/>
          <w:lang w:val="fr"/>
        </w:rPr>
        <w:t>’</w:t>
      </w:r>
      <w:r w:rsidRPr="008E09F2">
        <w:rPr>
          <w:rFonts w:ascii="Arial" w:hAnsi="Arial" w:cs="Arial"/>
          <w:lang w:val="fr"/>
        </w:rPr>
        <w:t>inscrire d</w:t>
      </w:r>
      <w:r w:rsidR="00F869B0">
        <w:rPr>
          <w:rFonts w:ascii="Arial" w:hAnsi="Arial" w:cs="Arial"/>
          <w:lang w:val="fr"/>
        </w:rPr>
        <w:t>’</w:t>
      </w:r>
      <w:r w:rsidRPr="008E09F2">
        <w:rPr>
          <w:rFonts w:ascii="Arial" w:hAnsi="Arial" w:cs="Arial"/>
          <w:lang w:val="fr"/>
        </w:rPr>
        <w:t xml:space="preserve">ici la mi-2021. </w:t>
      </w:r>
    </w:p>
    <w:p w14:paraId="1413F3AA" w14:textId="77777777" w:rsidR="00BC59AD" w:rsidRPr="00D8416E" w:rsidRDefault="00BC59AD" w:rsidP="00896621">
      <w:pPr>
        <w:jc w:val="both"/>
        <w:rPr>
          <w:rFonts w:ascii="Arial" w:hAnsi="Arial" w:cs="Arial"/>
          <w:lang w:val="fr-BE"/>
        </w:rPr>
      </w:pPr>
    </w:p>
    <w:p w14:paraId="52FE3623" w14:textId="12A99F8F" w:rsidR="00445A7C" w:rsidRPr="00D8416E" w:rsidRDefault="00BC59AD" w:rsidP="00896621">
      <w:pPr>
        <w:jc w:val="both"/>
        <w:rPr>
          <w:rFonts w:ascii="Arial" w:hAnsi="Arial" w:cs="Arial"/>
          <w:lang w:val="fr-BE"/>
        </w:rPr>
      </w:pPr>
      <w:r>
        <w:rPr>
          <w:rFonts w:ascii="Arial" w:hAnsi="Arial" w:cs="Arial"/>
          <w:lang w:val="fr"/>
        </w:rPr>
        <w:t>S</w:t>
      </w:r>
      <w:r w:rsidR="00F869B0">
        <w:rPr>
          <w:rFonts w:ascii="Arial" w:hAnsi="Arial" w:cs="Arial"/>
          <w:lang w:val="fr"/>
        </w:rPr>
        <w:t>’</w:t>
      </w:r>
      <w:r>
        <w:rPr>
          <w:rFonts w:ascii="Arial" w:hAnsi="Arial" w:cs="Arial"/>
          <w:lang w:val="fr"/>
        </w:rPr>
        <w:t>ils remplissent certaines conditions, les membres de la famille qui n</w:t>
      </w:r>
      <w:r w:rsidR="00F869B0">
        <w:rPr>
          <w:rFonts w:ascii="Arial" w:hAnsi="Arial" w:cs="Arial"/>
          <w:lang w:val="fr"/>
        </w:rPr>
        <w:t>’</w:t>
      </w:r>
      <w:r>
        <w:rPr>
          <w:rFonts w:ascii="Arial" w:hAnsi="Arial" w:cs="Arial"/>
          <w:lang w:val="fr"/>
        </w:rPr>
        <w:t>avaient pas rejoint le bénéficiaire de l</w:t>
      </w:r>
      <w:r w:rsidR="00F869B0">
        <w:rPr>
          <w:rFonts w:ascii="Arial" w:hAnsi="Arial" w:cs="Arial"/>
          <w:lang w:val="fr"/>
        </w:rPr>
        <w:t>’</w:t>
      </w:r>
      <w:r>
        <w:rPr>
          <w:rFonts w:ascii="Arial" w:hAnsi="Arial" w:cs="Arial"/>
          <w:lang w:val="fr"/>
        </w:rPr>
        <w:t>accord de sortie avant le 1</w:t>
      </w:r>
      <w:r>
        <w:rPr>
          <w:rFonts w:ascii="Arial" w:hAnsi="Arial" w:cs="Arial"/>
          <w:vertAlign w:val="superscript"/>
          <w:lang w:val="fr"/>
        </w:rPr>
        <w:t>er</w:t>
      </w:r>
      <w:r>
        <w:rPr>
          <w:rFonts w:ascii="Arial" w:hAnsi="Arial" w:cs="Arial"/>
          <w:lang w:val="fr"/>
        </w:rPr>
        <w:t xml:space="preserve"> janvier 2021 peuvent toujours le faire selon les anciennes règles. </w:t>
      </w:r>
    </w:p>
    <w:p w14:paraId="0538C3CB" w14:textId="77777777" w:rsidR="00BC59AD" w:rsidRPr="00D8416E" w:rsidRDefault="00BC59AD" w:rsidP="00896621">
      <w:pPr>
        <w:jc w:val="both"/>
        <w:rPr>
          <w:rFonts w:ascii="Arial" w:hAnsi="Arial" w:cs="Arial"/>
          <w:lang w:val="fr-BE"/>
        </w:rPr>
      </w:pPr>
    </w:p>
    <w:p w14:paraId="1AC5AC01" w14:textId="23D59246" w:rsidR="0073749A" w:rsidRPr="00D8416E" w:rsidRDefault="00BC59AD" w:rsidP="00896621">
      <w:pPr>
        <w:jc w:val="both"/>
        <w:rPr>
          <w:rFonts w:ascii="Arial" w:hAnsi="Arial" w:cs="Arial"/>
          <w:lang w:val="fr-BE"/>
        </w:rPr>
      </w:pPr>
      <w:r>
        <w:rPr>
          <w:rFonts w:ascii="Arial" w:hAnsi="Arial" w:cs="Arial"/>
          <w:lang w:val="fr"/>
        </w:rPr>
        <w:t>L</w:t>
      </w:r>
      <w:r w:rsidR="00F869B0">
        <w:rPr>
          <w:rFonts w:ascii="Arial" w:hAnsi="Arial" w:cs="Arial"/>
          <w:lang w:val="fr"/>
        </w:rPr>
        <w:t>’</w:t>
      </w:r>
      <w:r>
        <w:rPr>
          <w:rFonts w:ascii="Arial" w:hAnsi="Arial" w:cs="Arial"/>
          <w:lang w:val="fr"/>
        </w:rPr>
        <w:t>accord de sortie permettra également à deux autres groupes de bénéficier de l</w:t>
      </w:r>
      <w:r w:rsidR="00F869B0">
        <w:rPr>
          <w:rFonts w:ascii="Arial" w:hAnsi="Arial" w:cs="Arial"/>
          <w:lang w:val="fr"/>
        </w:rPr>
        <w:t>’</w:t>
      </w:r>
      <w:r>
        <w:rPr>
          <w:rFonts w:ascii="Arial" w:hAnsi="Arial" w:cs="Arial"/>
          <w:lang w:val="fr"/>
        </w:rPr>
        <w:t>ancien régime, à savoir les travailleurs frontaliers britanniques résidant dans l</w:t>
      </w:r>
      <w:r w:rsidR="00F869B0">
        <w:rPr>
          <w:rFonts w:ascii="Arial" w:hAnsi="Arial" w:cs="Arial"/>
          <w:lang w:val="fr"/>
        </w:rPr>
        <w:t>’</w:t>
      </w:r>
      <w:r>
        <w:rPr>
          <w:rFonts w:ascii="Arial" w:hAnsi="Arial" w:cs="Arial"/>
          <w:lang w:val="fr"/>
        </w:rPr>
        <w:t>Union européenne avant le 1</w:t>
      </w:r>
      <w:r>
        <w:rPr>
          <w:rFonts w:ascii="Arial" w:hAnsi="Arial" w:cs="Arial"/>
          <w:vertAlign w:val="superscript"/>
          <w:lang w:val="fr"/>
        </w:rPr>
        <w:t>er</w:t>
      </w:r>
      <w:r>
        <w:rPr>
          <w:rFonts w:ascii="Arial" w:hAnsi="Arial" w:cs="Arial"/>
          <w:lang w:val="fr"/>
        </w:rPr>
        <w:t xml:space="preserve"> janvier 2021 et les ressortissants britanniques qui avaient déjà prévu un traitement médical dans l</w:t>
      </w:r>
      <w:r w:rsidR="00F869B0">
        <w:rPr>
          <w:rFonts w:ascii="Arial" w:hAnsi="Arial" w:cs="Arial"/>
          <w:lang w:val="fr"/>
        </w:rPr>
        <w:t>’</w:t>
      </w:r>
      <w:r>
        <w:rPr>
          <w:rFonts w:ascii="Arial" w:hAnsi="Arial" w:cs="Arial"/>
          <w:lang w:val="fr"/>
        </w:rPr>
        <w:t>Union européenne avant cette date.</w:t>
      </w:r>
      <w:r w:rsidR="00F869B0">
        <w:rPr>
          <w:rFonts w:ascii="Arial" w:hAnsi="Arial" w:cs="Arial"/>
          <w:lang w:val="fr"/>
        </w:rPr>
        <w:t xml:space="preserve"> </w:t>
      </w:r>
      <w:r w:rsidR="00330286" w:rsidRPr="008E09F2">
        <w:rPr>
          <w:rFonts w:ascii="Arial" w:hAnsi="Arial" w:cs="Arial"/>
          <w:lang w:val="fr"/>
        </w:rPr>
        <w:t>Les ressortissants britanniques qui n</w:t>
      </w:r>
      <w:r w:rsidR="00F869B0">
        <w:rPr>
          <w:rFonts w:ascii="Arial" w:hAnsi="Arial" w:cs="Arial"/>
          <w:lang w:val="fr"/>
        </w:rPr>
        <w:t>’</w:t>
      </w:r>
      <w:r w:rsidR="00330286" w:rsidRPr="008E09F2">
        <w:rPr>
          <w:rFonts w:ascii="Arial" w:hAnsi="Arial" w:cs="Arial"/>
          <w:lang w:val="fr"/>
        </w:rPr>
        <w:t>ont pas fait usage du régime de libre circulation des personnes avant le 1</w:t>
      </w:r>
      <w:r w:rsidR="00330286" w:rsidRPr="008E09F2">
        <w:rPr>
          <w:rFonts w:ascii="Arial" w:hAnsi="Arial" w:cs="Arial"/>
          <w:vertAlign w:val="superscript"/>
          <w:lang w:val="fr"/>
        </w:rPr>
        <w:t>er</w:t>
      </w:r>
      <w:r w:rsidR="00330286" w:rsidRPr="008E09F2">
        <w:rPr>
          <w:rFonts w:ascii="Arial" w:hAnsi="Arial" w:cs="Arial"/>
          <w:lang w:val="fr"/>
        </w:rPr>
        <w:t xml:space="preserve"> janvier 2021 ou qui ne peuvent prouver y avoir recouru, seront considérés à partir de cette date comme des ressortissants de pays tiers. Les droits d</w:t>
      </w:r>
      <w:r w:rsidR="00F869B0">
        <w:rPr>
          <w:rFonts w:ascii="Arial" w:hAnsi="Arial" w:cs="Arial"/>
          <w:lang w:val="fr"/>
        </w:rPr>
        <w:t>’</w:t>
      </w:r>
      <w:r w:rsidR="00330286" w:rsidRPr="008E09F2">
        <w:rPr>
          <w:rFonts w:ascii="Arial" w:hAnsi="Arial" w:cs="Arial"/>
          <w:lang w:val="fr"/>
        </w:rPr>
        <w:t xml:space="preserve">accès et de séjour de ces personnes feront partie des négociations entre le Royaume-Uni et </w:t>
      </w:r>
      <w:r w:rsidR="006C5889" w:rsidRPr="008E09F2">
        <w:rPr>
          <w:rFonts w:ascii="Arial" w:hAnsi="Arial" w:cs="Arial"/>
          <w:lang w:val="fr"/>
        </w:rPr>
        <w:t>l</w:t>
      </w:r>
      <w:r w:rsidR="00F869B0">
        <w:rPr>
          <w:rFonts w:ascii="Arial" w:hAnsi="Arial" w:cs="Arial"/>
          <w:lang w:val="fr"/>
        </w:rPr>
        <w:t>’</w:t>
      </w:r>
      <w:r w:rsidR="006C5889" w:rsidRPr="008E09F2">
        <w:rPr>
          <w:rFonts w:ascii="Arial" w:hAnsi="Arial" w:cs="Arial"/>
          <w:lang w:val="fr"/>
        </w:rPr>
        <w:t>Union européenne</w:t>
      </w:r>
      <w:r w:rsidR="00330286" w:rsidRPr="008E09F2">
        <w:rPr>
          <w:rFonts w:ascii="Arial" w:hAnsi="Arial" w:cs="Arial"/>
          <w:lang w:val="fr"/>
        </w:rPr>
        <w:t xml:space="preserve"> à partir du 30 mars 2019.</w:t>
      </w:r>
    </w:p>
    <w:p w14:paraId="239886E4" w14:textId="77777777" w:rsidR="009C3EB0" w:rsidRPr="00D8416E" w:rsidRDefault="009C3EB0" w:rsidP="00896621">
      <w:pPr>
        <w:jc w:val="both"/>
        <w:rPr>
          <w:rFonts w:ascii="Arial" w:hAnsi="Arial" w:cs="Arial"/>
          <w:lang w:val="fr-BE"/>
        </w:rPr>
      </w:pPr>
    </w:p>
    <w:p w14:paraId="2D7BAF72" w14:textId="77777777" w:rsidR="009C3EB0" w:rsidRPr="00D8416E" w:rsidRDefault="009C3EB0" w:rsidP="00896621">
      <w:pPr>
        <w:jc w:val="both"/>
        <w:rPr>
          <w:rFonts w:ascii="Arial" w:hAnsi="Arial" w:cs="Arial"/>
          <w:lang w:val="fr-BE"/>
        </w:rPr>
      </w:pPr>
    </w:p>
    <w:p w14:paraId="333220D5" w14:textId="77777777" w:rsidR="009C3EB0" w:rsidRPr="00D8416E" w:rsidRDefault="009C3EB0" w:rsidP="00896621">
      <w:pPr>
        <w:jc w:val="both"/>
        <w:rPr>
          <w:rFonts w:ascii="Arial" w:hAnsi="Arial" w:cs="Arial"/>
          <w:lang w:val="fr-BE"/>
        </w:rPr>
      </w:pPr>
    </w:p>
    <w:sectPr w:rsidR="009C3EB0" w:rsidRPr="00D8416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1716" w14:textId="77777777" w:rsidR="00F17FE2" w:rsidRDefault="00F17FE2" w:rsidP="00A10A49">
      <w:r>
        <w:separator/>
      </w:r>
    </w:p>
  </w:endnote>
  <w:endnote w:type="continuationSeparator" w:id="0">
    <w:p w14:paraId="664615BC" w14:textId="77777777" w:rsidR="00F17FE2" w:rsidRDefault="00F17FE2" w:rsidP="00A1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58FE" w14:textId="77777777" w:rsidR="00F17FE2" w:rsidRDefault="00F17FE2" w:rsidP="00A10A49">
      <w:r>
        <w:separator/>
      </w:r>
    </w:p>
  </w:footnote>
  <w:footnote w:type="continuationSeparator" w:id="0">
    <w:p w14:paraId="378FBE84" w14:textId="77777777" w:rsidR="00F17FE2" w:rsidRDefault="00F17FE2" w:rsidP="00A1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003F"/>
    <w:multiLevelType w:val="hybridMultilevel"/>
    <w:tmpl w:val="3C8C54A8"/>
    <w:lvl w:ilvl="0" w:tplc="08130001">
      <w:start w:val="1"/>
      <w:numFmt w:val="bullet"/>
      <w:lvlText w:val=""/>
      <w:lvlJc w:val="left"/>
      <w:pPr>
        <w:ind w:left="720" w:hanging="360"/>
      </w:pPr>
      <w:rPr>
        <w:rFonts w:ascii="Symbol" w:hAnsi="Symbol" w:hint="default"/>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7F228A"/>
    <w:multiLevelType w:val="multilevel"/>
    <w:tmpl w:val="115E8BA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392D44"/>
    <w:multiLevelType w:val="hybridMultilevel"/>
    <w:tmpl w:val="77628292"/>
    <w:lvl w:ilvl="0" w:tplc="8A566E4A">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420653"/>
    <w:multiLevelType w:val="hybridMultilevel"/>
    <w:tmpl w:val="7DEC494A"/>
    <w:lvl w:ilvl="0" w:tplc="6590AF8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9A"/>
    <w:rsid w:val="0000464B"/>
    <w:rsid w:val="00053233"/>
    <w:rsid w:val="000B4EFB"/>
    <w:rsid w:val="00113D8C"/>
    <w:rsid w:val="0014270C"/>
    <w:rsid w:val="001635A0"/>
    <w:rsid w:val="00167CFC"/>
    <w:rsid w:val="001908B4"/>
    <w:rsid w:val="00197418"/>
    <w:rsid w:val="00282173"/>
    <w:rsid w:val="002916F6"/>
    <w:rsid w:val="002A46C3"/>
    <w:rsid w:val="00330286"/>
    <w:rsid w:val="003978E7"/>
    <w:rsid w:val="00445A7C"/>
    <w:rsid w:val="00461E1D"/>
    <w:rsid w:val="004C3EA8"/>
    <w:rsid w:val="004F0340"/>
    <w:rsid w:val="00501F95"/>
    <w:rsid w:val="00505C85"/>
    <w:rsid w:val="00516859"/>
    <w:rsid w:val="00570E0E"/>
    <w:rsid w:val="005A2C31"/>
    <w:rsid w:val="005C72C8"/>
    <w:rsid w:val="005C7871"/>
    <w:rsid w:val="00605ABD"/>
    <w:rsid w:val="006118CD"/>
    <w:rsid w:val="00617ACA"/>
    <w:rsid w:val="00625055"/>
    <w:rsid w:val="00634C5C"/>
    <w:rsid w:val="00674BA5"/>
    <w:rsid w:val="006C113C"/>
    <w:rsid w:val="006C5889"/>
    <w:rsid w:val="006E7483"/>
    <w:rsid w:val="00703EC0"/>
    <w:rsid w:val="00705434"/>
    <w:rsid w:val="0073749A"/>
    <w:rsid w:val="00765B53"/>
    <w:rsid w:val="007722FF"/>
    <w:rsid w:val="00773688"/>
    <w:rsid w:val="007B1392"/>
    <w:rsid w:val="00803754"/>
    <w:rsid w:val="0082788D"/>
    <w:rsid w:val="0083134D"/>
    <w:rsid w:val="008319E8"/>
    <w:rsid w:val="00865B7B"/>
    <w:rsid w:val="00896621"/>
    <w:rsid w:val="008E09F2"/>
    <w:rsid w:val="00935C9A"/>
    <w:rsid w:val="009708F9"/>
    <w:rsid w:val="009754BF"/>
    <w:rsid w:val="009A3B61"/>
    <w:rsid w:val="009A7B4C"/>
    <w:rsid w:val="009C3EB0"/>
    <w:rsid w:val="009D08FE"/>
    <w:rsid w:val="00A07BFD"/>
    <w:rsid w:val="00A10A49"/>
    <w:rsid w:val="00A32AF9"/>
    <w:rsid w:val="00A3749C"/>
    <w:rsid w:val="00A4449A"/>
    <w:rsid w:val="00A95FCA"/>
    <w:rsid w:val="00A96F44"/>
    <w:rsid w:val="00AB5D54"/>
    <w:rsid w:val="00B02315"/>
    <w:rsid w:val="00B3335B"/>
    <w:rsid w:val="00B34B40"/>
    <w:rsid w:val="00B66E83"/>
    <w:rsid w:val="00BC1467"/>
    <w:rsid w:val="00BC59AD"/>
    <w:rsid w:val="00C315B3"/>
    <w:rsid w:val="00C706FC"/>
    <w:rsid w:val="00CE3A58"/>
    <w:rsid w:val="00CE6B7B"/>
    <w:rsid w:val="00CF7BA6"/>
    <w:rsid w:val="00D424AA"/>
    <w:rsid w:val="00D44CA8"/>
    <w:rsid w:val="00D8416E"/>
    <w:rsid w:val="00D975BB"/>
    <w:rsid w:val="00DC718E"/>
    <w:rsid w:val="00E1772C"/>
    <w:rsid w:val="00E21936"/>
    <w:rsid w:val="00E70AB9"/>
    <w:rsid w:val="00E95087"/>
    <w:rsid w:val="00F17FE2"/>
    <w:rsid w:val="00F67D7D"/>
    <w:rsid w:val="00F861E6"/>
    <w:rsid w:val="00F8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A168"/>
  <w15:docId w15:val="{3FC52213-4E1C-4D1E-BC71-25EFA659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49A"/>
    <w:pPr>
      <w:spacing w:after="0" w:line="240" w:lineRule="auto"/>
    </w:pPr>
    <w:rPr>
      <w:rFonts w:ascii="Calibri" w:hAnsi="Calibri" w:cs="Calibri"/>
    </w:rPr>
  </w:style>
  <w:style w:type="paragraph" w:styleId="Titre2">
    <w:name w:val="heading 2"/>
    <w:basedOn w:val="Normal"/>
    <w:link w:val="Titre2Car"/>
    <w:uiPriority w:val="9"/>
    <w:qFormat/>
    <w:rsid w:val="000532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C7871"/>
    <w:pPr>
      <w:spacing w:after="150"/>
    </w:pPr>
    <w:rPr>
      <w:rFonts w:ascii="Times New Roman" w:eastAsia="Times New Roman" w:hAnsi="Times New Roman" w:cs="Times New Roman"/>
      <w:sz w:val="24"/>
      <w:szCs w:val="24"/>
    </w:rPr>
  </w:style>
  <w:style w:type="paragraph" w:styleId="Paragraphedeliste">
    <w:name w:val="List Paragraph"/>
    <w:basedOn w:val="Normal"/>
    <w:uiPriority w:val="34"/>
    <w:qFormat/>
    <w:rsid w:val="005C7871"/>
    <w:pPr>
      <w:spacing w:after="160" w:line="259" w:lineRule="auto"/>
      <w:ind w:left="720"/>
      <w:contextualSpacing/>
    </w:pPr>
    <w:rPr>
      <w:rFonts w:asciiTheme="minorHAnsi" w:hAnsiTheme="minorHAnsi" w:cstheme="minorBidi"/>
      <w:lang w:val="nl-BE"/>
    </w:rPr>
  </w:style>
  <w:style w:type="character" w:customStyle="1" w:styleId="Titre2Car">
    <w:name w:val="Titre 2 Car"/>
    <w:basedOn w:val="Policepardfaut"/>
    <w:link w:val="Titre2"/>
    <w:uiPriority w:val="9"/>
    <w:rsid w:val="00053233"/>
    <w:rPr>
      <w:rFonts w:ascii="Times New Roman" w:eastAsia="Times New Roman" w:hAnsi="Times New Roman" w:cs="Times New Roman"/>
      <w:b/>
      <w:bCs/>
      <w:sz w:val="36"/>
      <w:szCs w:val="36"/>
    </w:rPr>
  </w:style>
  <w:style w:type="character" w:styleId="Marquedecommentaire">
    <w:name w:val="annotation reference"/>
    <w:basedOn w:val="Policepardfaut"/>
    <w:uiPriority w:val="99"/>
    <w:semiHidden/>
    <w:unhideWhenUsed/>
    <w:rsid w:val="00C315B3"/>
    <w:rPr>
      <w:sz w:val="16"/>
      <w:szCs w:val="16"/>
    </w:rPr>
  </w:style>
  <w:style w:type="paragraph" w:styleId="Commentaire">
    <w:name w:val="annotation text"/>
    <w:basedOn w:val="Normal"/>
    <w:link w:val="CommentaireCar"/>
    <w:uiPriority w:val="99"/>
    <w:unhideWhenUsed/>
    <w:rsid w:val="00C315B3"/>
    <w:rPr>
      <w:sz w:val="20"/>
      <w:szCs w:val="20"/>
    </w:rPr>
  </w:style>
  <w:style w:type="character" w:customStyle="1" w:styleId="CommentaireCar">
    <w:name w:val="Commentaire Car"/>
    <w:basedOn w:val="Policepardfaut"/>
    <w:link w:val="Commentaire"/>
    <w:uiPriority w:val="99"/>
    <w:rsid w:val="00C315B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C315B3"/>
    <w:rPr>
      <w:b/>
      <w:bCs/>
    </w:rPr>
  </w:style>
  <w:style w:type="character" w:customStyle="1" w:styleId="ObjetducommentaireCar">
    <w:name w:val="Objet du commentaire Car"/>
    <w:basedOn w:val="CommentaireCar"/>
    <w:link w:val="Objetducommentaire"/>
    <w:uiPriority w:val="99"/>
    <w:semiHidden/>
    <w:rsid w:val="00C315B3"/>
    <w:rPr>
      <w:rFonts w:ascii="Calibri" w:hAnsi="Calibri" w:cs="Calibri"/>
      <w:b/>
      <w:bCs/>
      <w:sz w:val="20"/>
      <w:szCs w:val="20"/>
    </w:rPr>
  </w:style>
  <w:style w:type="paragraph" w:styleId="Textedebulles">
    <w:name w:val="Balloon Text"/>
    <w:basedOn w:val="Normal"/>
    <w:link w:val="TextedebullesCar"/>
    <w:uiPriority w:val="99"/>
    <w:semiHidden/>
    <w:unhideWhenUsed/>
    <w:rsid w:val="00C315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5B3"/>
    <w:rPr>
      <w:rFonts w:ascii="Segoe UI" w:hAnsi="Segoe UI" w:cs="Segoe UI"/>
      <w:sz w:val="18"/>
      <w:szCs w:val="18"/>
    </w:rPr>
  </w:style>
  <w:style w:type="character" w:styleId="Lienhypertexte">
    <w:name w:val="Hyperlink"/>
    <w:basedOn w:val="Policepardfaut"/>
    <w:uiPriority w:val="99"/>
    <w:unhideWhenUsed/>
    <w:rsid w:val="005C72C8"/>
    <w:rPr>
      <w:color w:val="0563C1" w:themeColor="hyperlink"/>
      <w:u w:val="single"/>
    </w:rPr>
  </w:style>
  <w:style w:type="character" w:styleId="Lienhypertextesuivivisit">
    <w:name w:val="FollowedHyperlink"/>
    <w:basedOn w:val="Policepardfaut"/>
    <w:uiPriority w:val="99"/>
    <w:semiHidden/>
    <w:unhideWhenUsed/>
    <w:rsid w:val="005C72C8"/>
    <w:rPr>
      <w:color w:val="954F72" w:themeColor="followedHyperlink"/>
      <w:u w:val="single"/>
    </w:rPr>
  </w:style>
  <w:style w:type="paragraph" w:styleId="Rvision">
    <w:name w:val="Revision"/>
    <w:hidden/>
    <w:uiPriority w:val="99"/>
    <w:semiHidden/>
    <w:rsid w:val="001908B4"/>
    <w:pPr>
      <w:spacing w:after="0" w:line="240" w:lineRule="auto"/>
    </w:pPr>
    <w:rPr>
      <w:rFonts w:ascii="Calibri" w:hAnsi="Calibri" w:cs="Calibri"/>
    </w:rPr>
  </w:style>
  <w:style w:type="paragraph" w:styleId="Notedebasdepage">
    <w:name w:val="footnote text"/>
    <w:basedOn w:val="Normal"/>
    <w:link w:val="NotedebasdepageCar"/>
    <w:uiPriority w:val="99"/>
    <w:semiHidden/>
    <w:unhideWhenUsed/>
    <w:rsid w:val="00A10A49"/>
    <w:rPr>
      <w:sz w:val="20"/>
      <w:szCs w:val="20"/>
    </w:rPr>
  </w:style>
  <w:style w:type="character" w:customStyle="1" w:styleId="NotedebasdepageCar">
    <w:name w:val="Note de bas de page Car"/>
    <w:basedOn w:val="Policepardfaut"/>
    <w:link w:val="Notedebasdepage"/>
    <w:uiPriority w:val="99"/>
    <w:semiHidden/>
    <w:rsid w:val="00A10A49"/>
    <w:rPr>
      <w:rFonts w:ascii="Calibri" w:hAnsi="Calibri" w:cs="Calibri"/>
      <w:sz w:val="20"/>
      <w:szCs w:val="20"/>
    </w:rPr>
  </w:style>
  <w:style w:type="character" w:styleId="Appelnotedebasdep">
    <w:name w:val="footnote reference"/>
    <w:basedOn w:val="Policepardfaut"/>
    <w:uiPriority w:val="99"/>
    <w:semiHidden/>
    <w:unhideWhenUsed/>
    <w:rsid w:val="00A10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8254">
      <w:bodyDiv w:val="1"/>
      <w:marLeft w:val="0"/>
      <w:marRight w:val="0"/>
      <w:marTop w:val="0"/>
      <w:marBottom w:val="0"/>
      <w:divBdr>
        <w:top w:val="none" w:sz="0" w:space="0" w:color="auto"/>
        <w:left w:val="none" w:sz="0" w:space="0" w:color="auto"/>
        <w:bottom w:val="none" w:sz="0" w:space="0" w:color="auto"/>
        <w:right w:val="none" w:sz="0" w:space="0" w:color="auto"/>
      </w:divBdr>
      <w:divsChild>
        <w:div w:id="593706569">
          <w:marLeft w:val="0"/>
          <w:marRight w:val="0"/>
          <w:marTop w:val="0"/>
          <w:marBottom w:val="0"/>
          <w:divBdr>
            <w:top w:val="none" w:sz="0" w:space="0" w:color="auto"/>
            <w:left w:val="none" w:sz="0" w:space="0" w:color="auto"/>
            <w:bottom w:val="none" w:sz="0" w:space="0" w:color="auto"/>
            <w:right w:val="none" w:sz="0" w:space="0" w:color="auto"/>
          </w:divBdr>
          <w:divsChild>
            <w:div w:id="1146508845">
              <w:marLeft w:val="0"/>
              <w:marRight w:val="0"/>
              <w:marTop w:val="0"/>
              <w:marBottom w:val="150"/>
              <w:divBdr>
                <w:top w:val="none" w:sz="0" w:space="0" w:color="auto"/>
                <w:left w:val="none" w:sz="0" w:space="0" w:color="auto"/>
                <w:bottom w:val="none" w:sz="0" w:space="0" w:color="auto"/>
                <w:right w:val="none" w:sz="0" w:space="0" w:color="auto"/>
              </w:divBdr>
              <w:divsChild>
                <w:div w:id="1526165106">
                  <w:marLeft w:val="0"/>
                  <w:marRight w:val="150"/>
                  <w:marTop w:val="0"/>
                  <w:marBottom w:val="0"/>
                  <w:divBdr>
                    <w:top w:val="single" w:sz="6" w:space="11" w:color="C0DDEB"/>
                    <w:left w:val="single" w:sz="6" w:space="8" w:color="C0DDEB"/>
                    <w:bottom w:val="single" w:sz="6" w:space="15" w:color="C0DDEB"/>
                    <w:right w:val="single" w:sz="6" w:space="8" w:color="C0DDEB"/>
                  </w:divBdr>
                  <w:divsChild>
                    <w:div w:id="1018503116">
                      <w:marLeft w:val="0"/>
                      <w:marRight w:val="0"/>
                      <w:marTop w:val="0"/>
                      <w:marBottom w:val="0"/>
                      <w:divBdr>
                        <w:top w:val="none" w:sz="0" w:space="0" w:color="auto"/>
                        <w:left w:val="none" w:sz="0" w:space="0" w:color="auto"/>
                        <w:bottom w:val="none" w:sz="0" w:space="0" w:color="auto"/>
                        <w:right w:val="none" w:sz="0" w:space="0" w:color="auto"/>
                      </w:divBdr>
                      <w:divsChild>
                        <w:div w:id="1132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6718">
      <w:bodyDiv w:val="1"/>
      <w:marLeft w:val="0"/>
      <w:marRight w:val="0"/>
      <w:marTop w:val="0"/>
      <w:marBottom w:val="0"/>
      <w:divBdr>
        <w:top w:val="none" w:sz="0" w:space="0" w:color="auto"/>
        <w:left w:val="none" w:sz="0" w:space="0" w:color="auto"/>
        <w:bottom w:val="none" w:sz="0" w:space="0" w:color="auto"/>
        <w:right w:val="none" w:sz="0" w:space="0" w:color="auto"/>
      </w:divBdr>
    </w:div>
    <w:div w:id="208734838">
      <w:bodyDiv w:val="1"/>
      <w:marLeft w:val="0"/>
      <w:marRight w:val="0"/>
      <w:marTop w:val="0"/>
      <w:marBottom w:val="0"/>
      <w:divBdr>
        <w:top w:val="none" w:sz="0" w:space="0" w:color="auto"/>
        <w:left w:val="none" w:sz="0" w:space="0" w:color="auto"/>
        <w:bottom w:val="none" w:sz="0" w:space="0" w:color="auto"/>
        <w:right w:val="none" w:sz="0" w:space="0" w:color="auto"/>
      </w:divBdr>
      <w:divsChild>
        <w:div w:id="688676634">
          <w:marLeft w:val="0"/>
          <w:marRight w:val="0"/>
          <w:marTop w:val="0"/>
          <w:marBottom w:val="0"/>
          <w:divBdr>
            <w:top w:val="none" w:sz="0" w:space="0" w:color="auto"/>
            <w:left w:val="none" w:sz="0" w:space="0" w:color="auto"/>
            <w:bottom w:val="none" w:sz="0" w:space="0" w:color="auto"/>
            <w:right w:val="none" w:sz="0" w:space="0" w:color="auto"/>
          </w:divBdr>
          <w:divsChild>
            <w:div w:id="1795175509">
              <w:marLeft w:val="0"/>
              <w:marRight w:val="0"/>
              <w:marTop w:val="0"/>
              <w:marBottom w:val="0"/>
              <w:divBdr>
                <w:top w:val="none" w:sz="0" w:space="0" w:color="auto"/>
                <w:left w:val="none" w:sz="0" w:space="0" w:color="auto"/>
                <w:bottom w:val="none" w:sz="0" w:space="0" w:color="auto"/>
                <w:right w:val="none" w:sz="0" w:space="0" w:color="auto"/>
              </w:divBdr>
              <w:divsChild>
                <w:div w:id="677579369">
                  <w:marLeft w:val="0"/>
                  <w:marRight w:val="0"/>
                  <w:marTop w:val="0"/>
                  <w:marBottom w:val="0"/>
                  <w:divBdr>
                    <w:top w:val="none" w:sz="0" w:space="0" w:color="auto"/>
                    <w:left w:val="none" w:sz="0" w:space="0" w:color="auto"/>
                    <w:bottom w:val="none" w:sz="0" w:space="0" w:color="auto"/>
                    <w:right w:val="none" w:sz="0" w:space="0" w:color="auto"/>
                  </w:divBdr>
                  <w:divsChild>
                    <w:div w:id="970789583">
                      <w:marLeft w:val="0"/>
                      <w:marRight w:val="0"/>
                      <w:marTop w:val="0"/>
                      <w:marBottom w:val="0"/>
                      <w:divBdr>
                        <w:top w:val="none" w:sz="0" w:space="0" w:color="auto"/>
                        <w:left w:val="none" w:sz="0" w:space="0" w:color="auto"/>
                        <w:bottom w:val="none" w:sz="0" w:space="0" w:color="auto"/>
                        <w:right w:val="none" w:sz="0" w:space="0" w:color="auto"/>
                      </w:divBdr>
                      <w:divsChild>
                        <w:div w:id="1556965895">
                          <w:marLeft w:val="0"/>
                          <w:marRight w:val="0"/>
                          <w:marTop w:val="0"/>
                          <w:marBottom w:val="0"/>
                          <w:divBdr>
                            <w:top w:val="none" w:sz="0" w:space="0" w:color="auto"/>
                            <w:left w:val="none" w:sz="0" w:space="0" w:color="auto"/>
                            <w:bottom w:val="none" w:sz="0" w:space="0" w:color="auto"/>
                            <w:right w:val="none" w:sz="0" w:space="0" w:color="auto"/>
                          </w:divBdr>
                          <w:divsChild>
                            <w:div w:id="2004310818">
                              <w:marLeft w:val="0"/>
                              <w:marRight w:val="0"/>
                              <w:marTop w:val="0"/>
                              <w:marBottom w:val="0"/>
                              <w:divBdr>
                                <w:top w:val="none" w:sz="0" w:space="0" w:color="auto"/>
                                <w:left w:val="none" w:sz="0" w:space="0" w:color="auto"/>
                                <w:bottom w:val="none" w:sz="0" w:space="0" w:color="auto"/>
                                <w:right w:val="none" w:sz="0" w:space="0" w:color="auto"/>
                              </w:divBdr>
                              <w:divsChild>
                                <w:div w:id="1757482011">
                                  <w:marLeft w:val="0"/>
                                  <w:marRight w:val="0"/>
                                  <w:marTop w:val="0"/>
                                  <w:marBottom w:val="0"/>
                                  <w:divBdr>
                                    <w:top w:val="none" w:sz="0" w:space="0" w:color="auto"/>
                                    <w:left w:val="none" w:sz="0" w:space="0" w:color="auto"/>
                                    <w:bottom w:val="none" w:sz="0" w:space="0" w:color="auto"/>
                                    <w:right w:val="none" w:sz="0" w:space="0" w:color="auto"/>
                                  </w:divBdr>
                                  <w:divsChild>
                                    <w:div w:id="1798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5563">
      <w:bodyDiv w:val="1"/>
      <w:marLeft w:val="0"/>
      <w:marRight w:val="0"/>
      <w:marTop w:val="0"/>
      <w:marBottom w:val="0"/>
      <w:divBdr>
        <w:top w:val="none" w:sz="0" w:space="0" w:color="auto"/>
        <w:left w:val="none" w:sz="0" w:space="0" w:color="auto"/>
        <w:bottom w:val="none" w:sz="0" w:space="0" w:color="auto"/>
        <w:right w:val="none" w:sz="0" w:space="0" w:color="auto"/>
      </w:divBdr>
    </w:div>
    <w:div w:id="1190946674">
      <w:bodyDiv w:val="1"/>
      <w:marLeft w:val="0"/>
      <w:marRight w:val="0"/>
      <w:marTop w:val="0"/>
      <w:marBottom w:val="0"/>
      <w:divBdr>
        <w:top w:val="none" w:sz="0" w:space="0" w:color="auto"/>
        <w:left w:val="none" w:sz="0" w:space="0" w:color="auto"/>
        <w:bottom w:val="none" w:sz="0" w:space="0" w:color="auto"/>
        <w:right w:val="none" w:sz="0" w:space="0" w:color="auto"/>
      </w:divBdr>
    </w:div>
    <w:div w:id="17244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ommission/files/draft-agreement-withdrawal-united-kingdom-great-britain-and-northern-ireland-european-union-and-european-atomic-energy-community-agreed-negotiators-level-14-november-2018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8ADB9EF475E469296F0FC883253E6" ma:contentTypeVersion="8" ma:contentTypeDescription="Create a new document." ma:contentTypeScope="" ma:versionID="12c11334ddde30901b0d81e22bfd9020">
  <xsd:schema xmlns:xsd="http://www.w3.org/2001/XMLSchema" xmlns:xs="http://www.w3.org/2001/XMLSchema" xmlns:p="http://schemas.microsoft.com/office/2006/metadata/properties" xmlns:ns3="1aa32ad6-7bfa-41d8-9a70-a019d38952b0" targetNamespace="http://schemas.microsoft.com/office/2006/metadata/properties" ma:root="true" ma:fieldsID="a80c87edfdfbbd1b1b4fa275f99adc8a" ns3:_="">
    <xsd:import namespace="1aa32ad6-7bfa-41d8-9a70-a019d3895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32ad6-7bfa-41d8-9a70-a019d3895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499D-B1AE-492E-AE8C-38C90F831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32ad6-7bfa-41d8-9a70-a019d3895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F228A-9AAF-440C-B785-8205178D0EBF}">
  <ds:schemaRefs>
    <ds:schemaRef ds:uri="http://schemas.microsoft.com/sharepoint/v3/contenttype/forms"/>
  </ds:schemaRefs>
</ds:datastoreItem>
</file>

<file path=customXml/itemProps3.xml><?xml version="1.0" encoding="utf-8"?>
<ds:datastoreItem xmlns:ds="http://schemas.openxmlformats.org/officeDocument/2006/customXml" ds:itemID="{72B0C9CE-83DB-444B-924C-82E31E0E0578}">
  <ds:schemaRefs>
    <ds:schemaRef ds:uri="1aa32ad6-7bfa-41d8-9a70-a019d38952b0"/>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D3AC85-DA09-4FEC-873C-FCAE3363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2999</Characters>
  <Application>Microsoft Office Word</Application>
  <DocSecurity>0</DocSecurity>
  <Lines>24</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Gols Isabelle</dc:creator>
  <cp:lastModifiedBy>Maite BINAME</cp:lastModifiedBy>
  <cp:revision>2</cp:revision>
  <dcterms:created xsi:type="dcterms:W3CDTF">2020-01-27T13:34:00Z</dcterms:created>
  <dcterms:modified xsi:type="dcterms:W3CDTF">2020-01-27T13:34:00Z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0x0101005898ADB9EF475E469296F0FC883253E6</vt:lpwstr>
  </property>
</Properties>
</file>